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C73" w:rsidRPr="00640DAE" w:rsidRDefault="009A583D" w:rsidP="00BF3E45">
      <w:pPr>
        <w:ind w:firstLine="708"/>
        <w:rPr>
          <w:rFonts w:ascii="Verdana" w:hAnsi="Verdana"/>
          <w:b/>
          <w:sz w:val="28"/>
          <w:szCs w:val="28"/>
        </w:rPr>
      </w:pPr>
      <w:bookmarkStart w:id="0" w:name="_GoBack"/>
      <w:bookmarkEnd w:id="0"/>
      <w:r w:rsidRPr="00640DAE">
        <w:rPr>
          <w:rFonts w:ascii="Verdana" w:hAnsi="Verdana"/>
          <w:b/>
          <w:sz w:val="28"/>
          <w:szCs w:val="28"/>
        </w:rPr>
        <w:t>Sondas de inspección de fibra y microscopios para fibra óptica</w:t>
      </w:r>
    </w:p>
    <w:p w:rsidR="00BF3E45" w:rsidRPr="00713DE9" w:rsidRDefault="00BF3E45" w:rsidP="00BF3E45">
      <w:pPr>
        <w:ind w:firstLine="708"/>
        <w:rPr>
          <w:rFonts w:ascii="Verdana" w:hAnsi="Verdana"/>
          <w:i/>
        </w:rPr>
      </w:pPr>
      <w:r w:rsidRPr="00713DE9">
        <w:rPr>
          <w:rFonts w:ascii="Verdana" w:hAnsi="Verdana"/>
          <w:i/>
        </w:rPr>
        <w:t xml:space="preserve">Traducción del Boletín Técnico nº </w:t>
      </w:r>
      <w:r w:rsidR="009A583D" w:rsidRPr="00713DE9">
        <w:rPr>
          <w:rFonts w:ascii="Verdana" w:hAnsi="Verdana"/>
          <w:i/>
        </w:rPr>
        <w:t>228</w:t>
      </w:r>
      <w:r w:rsidR="00640DAE">
        <w:rPr>
          <w:rFonts w:ascii="Verdana" w:hAnsi="Verdana"/>
          <w:i/>
        </w:rPr>
        <w:t xml:space="preserve"> </w:t>
      </w:r>
      <w:r w:rsidRPr="00713DE9">
        <w:rPr>
          <w:rFonts w:ascii="Verdana" w:hAnsi="Verdana"/>
          <w:i/>
        </w:rPr>
        <w:t>de EXFO.</w:t>
      </w:r>
    </w:p>
    <w:p w:rsidR="00640DAE" w:rsidRDefault="009A583D" w:rsidP="009A583D">
      <w:pPr>
        <w:rPr>
          <w:rFonts w:ascii="Verdana" w:hAnsi="Verdana"/>
        </w:rPr>
      </w:pPr>
      <w:r w:rsidRPr="00713DE9">
        <w:rPr>
          <w:rFonts w:ascii="Verdana" w:hAnsi="Verdana"/>
        </w:rPr>
        <w:t xml:space="preserve">El mercado de la fibra óptica empieza a aceptar plenamente las ventajas y la necesidad de la limpieza de los conectores. No obstante, presenta cierta confusión la elección de la mejor herramienta para su inspección: las sondas de inspección de fibra (FIP- </w:t>
      </w:r>
      <w:proofErr w:type="spellStart"/>
      <w:r w:rsidRPr="00713DE9">
        <w:rPr>
          <w:rFonts w:ascii="Verdana" w:hAnsi="Verdana"/>
        </w:rPr>
        <w:t>Fiber</w:t>
      </w:r>
      <w:proofErr w:type="spellEnd"/>
      <w:r w:rsidRPr="00713DE9">
        <w:rPr>
          <w:rFonts w:ascii="Verdana" w:hAnsi="Verdana"/>
        </w:rPr>
        <w:t xml:space="preserve"> </w:t>
      </w:r>
      <w:proofErr w:type="spellStart"/>
      <w:r w:rsidRPr="00713DE9">
        <w:rPr>
          <w:rFonts w:ascii="Verdana" w:hAnsi="Verdana"/>
        </w:rPr>
        <w:t>Inspection</w:t>
      </w:r>
      <w:proofErr w:type="spellEnd"/>
      <w:r w:rsidRPr="00713DE9">
        <w:rPr>
          <w:rFonts w:ascii="Verdana" w:hAnsi="Verdana"/>
        </w:rPr>
        <w:t xml:space="preserve"> </w:t>
      </w:r>
      <w:proofErr w:type="spellStart"/>
      <w:r w:rsidRPr="00713DE9">
        <w:rPr>
          <w:rFonts w:ascii="Verdana" w:hAnsi="Verdana"/>
        </w:rPr>
        <w:t>Probes</w:t>
      </w:r>
      <w:proofErr w:type="spellEnd"/>
      <w:r w:rsidRPr="00713DE9">
        <w:rPr>
          <w:rFonts w:ascii="Verdana" w:hAnsi="Verdana"/>
        </w:rPr>
        <w:t xml:space="preserve">) o los microscopios para fibra óptica (FOMS </w:t>
      </w:r>
      <w:proofErr w:type="spellStart"/>
      <w:r w:rsidRPr="00713DE9">
        <w:rPr>
          <w:rFonts w:ascii="Verdana" w:hAnsi="Verdana"/>
        </w:rPr>
        <w:t>Fiber</w:t>
      </w:r>
      <w:proofErr w:type="spellEnd"/>
      <w:r w:rsidRPr="00713DE9">
        <w:rPr>
          <w:rFonts w:ascii="Verdana" w:hAnsi="Verdana"/>
        </w:rPr>
        <w:t xml:space="preserve"> </w:t>
      </w:r>
      <w:proofErr w:type="spellStart"/>
      <w:r w:rsidRPr="00713DE9">
        <w:rPr>
          <w:rFonts w:ascii="Verdana" w:hAnsi="Verdana"/>
        </w:rPr>
        <w:t>Optic</w:t>
      </w:r>
      <w:proofErr w:type="spellEnd"/>
      <w:r w:rsidRPr="00713DE9">
        <w:rPr>
          <w:rFonts w:ascii="Verdana" w:hAnsi="Verdana"/>
        </w:rPr>
        <w:t xml:space="preserve"> </w:t>
      </w:r>
      <w:proofErr w:type="spellStart"/>
      <w:r w:rsidRPr="00713DE9">
        <w:rPr>
          <w:rFonts w:ascii="Verdana" w:hAnsi="Verdana"/>
        </w:rPr>
        <w:t>Microscopes</w:t>
      </w:r>
      <w:proofErr w:type="spellEnd"/>
      <w:r w:rsidRPr="00713DE9">
        <w:rPr>
          <w:rFonts w:ascii="Verdana" w:hAnsi="Verdana"/>
        </w:rPr>
        <w:t xml:space="preserve">). </w:t>
      </w:r>
    </w:p>
    <w:p w:rsidR="00640DAE" w:rsidRDefault="00640DAE" w:rsidP="009A583D">
      <w:pPr>
        <w:rPr>
          <w:rFonts w:ascii="Verdana" w:hAnsi="Verdana"/>
        </w:rPr>
      </w:pPr>
    </w:p>
    <w:p w:rsidR="009A583D" w:rsidRDefault="00640DAE" w:rsidP="009A583D">
      <w:pPr>
        <w:rPr>
          <w:rFonts w:ascii="Verdana" w:hAnsi="Verdana"/>
        </w:rPr>
      </w:pPr>
      <w:r>
        <w:rPr>
          <w:rFonts w:ascii="Verdana" w:hAnsi="Verdana"/>
          <w:noProof/>
          <w:lang w:eastAsia="es-ES"/>
        </w:rPr>
        <w:drawing>
          <wp:anchor distT="0" distB="0" distL="114300" distR="114300" simplePos="0" relativeHeight="251658240" behindDoc="0" locked="0" layoutInCell="1" allowOverlap="1">
            <wp:simplePos x="0" y="0"/>
            <wp:positionH relativeFrom="column">
              <wp:posOffset>-6350</wp:posOffset>
            </wp:positionH>
            <wp:positionV relativeFrom="paragraph">
              <wp:posOffset>-5080</wp:posOffset>
            </wp:positionV>
            <wp:extent cx="2556000" cy="2844000"/>
            <wp:effectExtent l="0" t="0" r="0" b="0"/>
            <wp:wrapSquare wrapText="right"/>
            <wp:docPr id="3" name="Imagen 3" descr="C:\Users\dinamita\Desktop\sondas y microscopios\Fig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namita\Desktop\sondas y microscopios\Figura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6000" cy="28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583D" w:rsidRPr="00713DE9">
        <w:rPr>
          <w:rFonts w:ascii="Verdana" w:hAnsi="Verdana"/>
        </w:rPr>
        <w:t>Si bien ambos instrumentos son utilizados</w:t>
      </w:r>
      <w:r w:rsidR="000F4E60" w:rsidRPr="00713DE9">
        <w:rPr>
          <w:rFonts w:ascii="Verdana" w:hAnsi="Verdana"/>
        </w:rPr>
        <w:t xml:space="preserve"> </w:t>
      </w:r>
      <w:r w:rsidR="009A583D" w:rsidRPr="00713DE9">
        <w:rPr>
          <w:rFonts w:ascii="Verdana" w:hAnsi="Verdana"/>
        </w:rPr>
        <w:t>para inspeccionar conectores, presentan algunas diferencias importantes:</w:t>
      </w:r>
    </w:p>
    <w:p w:rsidR="00640DAE" w:rsidRPr="00713DE9" w:rsidRDefault="00640DAE" w:rsidP="009A583D">
      <w:pPr>
        <w:rPr>
          <w:rFonts w:ascii="Verdana" w:hAnsi="Verdana"/>
        </w:rPr>
      </w:pPr>
    </w:p>
    <w:p w:rsidR="009A583D" w:rsidRPr="00DE7C62" w:rsidRDefault="009A583D" w:rsidP="009A583D">
      <w:pPr>
        <w:pStyle w:val="Prrafodelista"/>
        <w:numPr>
          <w:ilvl w:val="0"/>
          <w:numId w:val="11"/>
        </w:numPr>
        <w:rPr>
          <w:rFonts w:ascii="Verdana" w:hAnsi="Verdana"/>
          <w:b/>
        </w:rPr>
      </w:pPr>
      <w:r w:rsidRPr="00DE7C62">
        <w:rPr>
          <w:rFonts w:ascii="Verdana" w:hAnsi="Verdana"/>
          <w:b/>
        </w:rPr>
        <w:t>Seguridad del ojo:</w:t>
      </w:r>
    </w:p>
    <w:p w:rsidR="009A583D" w:rsidRPr="00713DE9" w:rsidRDefault="009A583D" w:rsidP="009A583D">
      <w:pPr>
        <w:pStyle w:val="Prrafodelista"/>
        <w:rPr>
          <w:rFonts w:ascii="Verdana" w:hAnsi="Verdana"/>
        </w:rPr>
      </w:pPr>
      <w:r w:rsidRPr="00713DE9">
        <w:rPr>
          <w:rFonts w:ascii="Verdana" w:hAnsi="Verdana"/>
        </w:rPr>
        <w:t>Los microscopios para fibra óptica incorporan un filtro interno para proteger al ojo frente a una inspección accidental de fibra activa</w:t>
      </w:r>
    </w:p>
    <w:p w:rsidR="009A583D" w:rsidRPr="00713DE9" w:rsidRDefault="009A583D" w:rsidP="009A583D">
      <w:pPr>
        <w:pStyle w:val="Prrafodelista"/>
        <w:rPr>
          <w:rFonts w:ascii="Verdana" w:hAnsi="Verdana"/>
        </w:rPr>
      </w:pPr>
    </w:p>
    <w:p w:rsidR="009A583D" w:rsidRPr="00713DE9" w:rsidRDefault="009A583D" w:rsidP="009A583D">
      <w:pPr>
        <w:pStyle w:val="Prrafodelista"/>
        <w:rPr>
          <w:rFonts w:ascii="Verdana" w:hAnsi="Verdana"/>
        </w:rPr>
      </w:pPr>
      <w:r w:rsidRPr="00713DE9">
        <w:rPr>
          <w:rFonts w:ascii="Verdana" w:hAnsi="Verdana"/>
        </w:rPr>
        <w:t>Sin embargo, si el filtro del microscopio estuviera dañado, perdido o averiado, existe un riesgo real de daño</w:t>
      </w:r>
      <w:r w:rsidR="000F4E60" w:rsidRPr="00713DE9">
        <w:rPr>
          <w:rFonts w:ascii="Verdana" w:hAnsi="Verdana"/>
        </w:rPr>
        <w:t xml:space="preserve">s </w:t>
      </w:r>
      <w:r w:rsidRPr="00713DE9">
        <w:rPr>
          <w:rFonts w:ascii="Verdana" w:hAnsi="Verdana"/>
        </w:rPr>
        <w:t>en una situación accidental de inspección de fibra activa.</w:t>
      </w:r>
    </w:p>
    <w:p w:rsidR="009A583D" w:rsidRPr="00713DE9" w:rsidRDefault="00640DAE" w:rsidP="009A583D">
      <w:pPr>
        <w:pStyle w:val="Prrafodelista"/>
        <w:rPr>
          <w:rFonts w:ascii="Verdana" w:hAnsi="Verdana"/>
        </w:rPr>
      </w:pPr>
      <w:r>
        <w:rPr>
          <w:rFonts w:ascii="Verdana" w:hAnsi="Verdana"/>
          <w:i/>
          <w:noProof/>
          <w:lang w:eastAsia="es-ES"/>
        </w:rPr>
        <w:drawing>
          <wp:anchor distT="0" distB="0" distL="114300" distR="114300" simplePos="0" relativeHeight="251659264" behindDoc="0" locked="0" layoutInCell="1" allowOverlap="1" wp14:anchorId="75BE2641" wp14:editId="1ACE8539">
            <wp:simplePos x="0" y="0"/>
            <wp:positionH relativeFrom="column">
              <wp:posOffset>-6985</wp:posOffset>
            </wp:positionH>
            <wp:positionV relativeFrom="paragraph">
              <wp:posOffset>98425</wp:posOffset>
            </wp:positionV>
            <wp:extent cx="2537460" cy="2515870"/>
            <wp:effectExtent l="0" t="0" r="0" b="0"/>
            <wp:wrapSquare wrapText="right"/>
            <wp:docPr id="2" name="Imagen 2" descr="C:\Users\dinamita\Desktop\sondas y microscopios\Fig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mita\Desktop\sondas y microscopios\Figura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460" cy="25158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583D" w:rsidRPr="00713DE9" w:rsidRDefault="009A583D" w:rsidP="009A583D">
      <w:pPr>
        <w:pStyle w:val="Prrafodelista"/>
        <w:rPr>
          <w:rFonts w:ascii="Verdana" w:hAnsi="Verdana"/>
        </w:rPr>
      </w:pPr>
      <w:r w:rsidRPr="00713DE9">
        <w:rPr>
          <w:rFonts w:ascii="Verdana" w:hAnsi="Verdana"/>
        </w:rPr>
        <w:t>Si se utiliza una FIP,</w:t>
      </w:r>
      <w:r w:rsidR="000F4E60" w:rsidRPr="00713DE9">
        <w:rPr>
          <w:rFonts w:ascii="Verdana" w:hAnsi="Verdana"/>
        </w:rPr>
        <w:t xml:space="preserve"> </w:t>
      </w:r>
      <w:r w:rsidR="00807265" w:rsidRPr="00713DE9">
        <w:rPr>
          <w:rFonts w:ascii="Verdana" w:hAnsi="Verdana"/>
        </w:rPr>
        <w:t>no existe absolutamente ningún riesgo de este tipo, ya que se observa una imagen de video sobre una pantalla</w:t>
      </w:r>
    </w:p>
    <w:p w:rsidR="00807265" w:rsidRPr="00713DE9" w:rsidRDefault="00807265" w:rsidP="009A583D">
      <w:pPr>
        <w:pStyle w:val="Prrafodelista"/>
        <w:rPr>
          <w:rFonts w:ascii="Verdana" w:hAnsi="Verdana"/>
        </w:rPr>
      </w:pPr>
    </w:p>
    <w:p w:rsidR="00807265" w:rsidRPr="00713DE9" w:rsidRDefault="00807265" w:rsidP="009A583D">
      <w:pPr>
        <w:pStyle w:val="Prrafodelista"/>
        <w:rPr>
          <w:rFonts w:ascii="Verdana" w:hAnsi="Verdana"/>
          <w:i/>
        </w:rPr>
      </w:pPr>
    </w:p>
    <w:p w:rsidR="00807265" w:rsidRPr="00713DE9" w:rsidRDefault="00807265" w:rsidP="009A583D">
      <w:pPr>
        <w:pStyle w:val="Prrafodelista"/>
        <w:rPr>
          <w:rFonts w:ascii="Verdana" w:hAnsi="Verdana"/>
          <w:i/>
        </w:rPr>
      </w:pPr>
    </w:p>
    <w:p w:rsidR="00640DAE" w:rsidRDefault="00640DAE">
      <w:pPr>
        <w:rPr>
          <w:rFonts w:ascii="Verdana" w:hAnsi="Verdana"/>
        </w:rPr>
      </w:pPr>
      <w:r>
        <w:rPr>
          <w:rFonts w:ascii="Verdana" w:hAnsi="Verdana"/>
        </w:rPr>
        <w:br w:type="page"/>
      </w:r>
    </w:p>
    <w:p w:rsidR="00807265" w:rsidRPr="00DE7C62" w:rsidRDefault="00807265" w:rsidP="00807265">
      <w:pPr>
        <w:pStyle w:val="Prrafodelista"/>
        <w:numPr>
          <w:ilvl w:val="0"/>
          <w:numId w:val="11"/>
        </w:numPr>
        <w:rPr>
          <w:rFonts w:ascii="Verdana" w:hAnsi="Verdana"/>
          <w:b/>
        </w:rPr>
      </w:pPr>
      <w:r w:rsidRPr="00DE7C62">
        <w:rPr>
          <w:rFonts w:ascii="Verdana" w:hAnsi="Verdana"/>
          <w:b/>
        </w:rPr>
        <w:lastRenderedPageBreak/>
        <w:t>Inspección de conectores y acopladores de panel.</w:t>
      </w:r>
    </w:p>
    <w:p w:rsidR="00807265" w:rsidRPr="00713DE9" w:rsidRDefault="00E955B0" w:rsidP="00807265">
      <w:pPr>
        <w:rPr>
          <w:rFonts w:ascii="Verdana" w:hAnsi="Verdana"/>
        </w:rPr>
      </w:pPr>
      <w:r>
        <w:rPr>
          <w:rFonts w:ascii="Verdana" w:hAnsi="Verdana"/>
          <w:noProof/>
          <w:lang w:eastAsia="es-ES"/>
        </w:rPr>
        <w:drawing>
          <wp:inline distT="0" distB="0" distL="0" distR="0" wp14:anchorId="1821FE7C" wp14:editId="6B2CA06E">
            <wp:extent cx="5849620" cy="1565910"/>
            <wp:effectExtent l="0" t="0" r="0" b="0"/>
            <wp:docPr id="4" name="Imagen 4" descr="C:\Users\dinamita\Desktop\sondas y microscopios\Figur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namita\Desktop\sondas y microscopios\Figura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9620" cy="1565910"/>
                    </a:xfrm>
                    <a:prstGeom prst="rect">
                      <a:avLst/>
                    </a:prstGeom>
                    <a:noFill/>
                    <a:ln>
                      <a:noFill/>
                    </a:ln>
                  </pic:spPr>
                </pic:pic>
              </a:graphicData>
            </a:graphic>
          </wp:inline>
        </w:drawing>
      </w:r>
      <w:r w:rsidR="00807265" w:rsidRPr="00713DE9">
        <w:rPr>
          <w:rFonts w:ascii="Verdana" w:hAnsi="Verdana"/>
        </w:rPr>
        <w:t xml:space="preserve">Dado que la ferrule (macho) del conector a inspeccionar se inserta en uno de los extremos del instrumento, y el usuario observa desde el otro extremo; los microscopios de fibra óptica no están diseñados para la comprobación de acopladores </w:t>
      </w:r>
      <w:r w:rsidR="002D6C25" w:rsidRPr="00713DE9">
        <w:rPr>
          <w:rFonts w:ascii="Verdana" w:hAnsi="Verdana"/>
        </w:rPr>
        <w:t>(hembra</w:t>
      </w:r>
      <w:r w:rsidR="00807265" w:rsidRPr="00713DE9">
        <w:rPr>
          <w:rFonts w:ascii="Verdana" w:hAnsi="Verdana"/>
        </w:rPr>
        <w:t>) situados en un panel.</w:t>
      </w:r>
    </w:p>
    <w:p w:rsidR="00807265" w:rsidRPr="00713DE9" w:rsidRDefault="00E955B0" w:rsidP="00807265">
      <w:pPr>
        <w:rPr>
          <w:rFonts w:ascii="Verdana" w:hAnsi="Verdana"/>
        </w:rPr>
      </w:pPr>
      <w:r>
        <w:rPr>
          <w:rFonts w:ascii="Verdana" w:hAnsi="Verdana"/>
          <w:noProof/>
          <w:lang w:eastAsia="es-ES"/>
        </w:rPr>
        <w:drawing>
          <wp:inline distT="0" distB="0" distL="0" distR="0" wp14:anchorId="297A2028" wp14:editId="4D306A6F">
            <wp:extent cx="5849620" cy="1415415"/>
            <wp:effectExtent l="0" t="0" r="0" b="0"/>
            <wp:docPr id="5" name="Imagen 5" descr="C:\Users\dinamita\Desktop\sondas y microscopios\Figura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namita\Desktop\sondas y microscopios\Figura 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9620" cy="1415415"/>
                    </a:xfrm>
                    <a:prstGeom prst="rect">
                      <a:avLst/>
                    </a:prstGeom>
                    <a:noFill/>
                    <a:ln>
                      <a:noFill/>
                    </a:ln>
                  </pic:spPr>
                </pic:pic>
              </a:graphicData>
            </a:graphic>
          </wp:inline>
        </w:drawing>
      </w:r>
    </w:p>
    <w:p w:rsidR="00807265" w:rsidRPr="00713DE9" w:rsidRDefault="00807265" w:rsidP="00807265">
      <w:pPr>
        <w:rPr>
          <w:rFonts w:ascii="Verdana" w:hAnsi="Verdana"/>
        </w:rPr>
      </w:pPr>
      <w:r w:rsidRPr="00713DE9">
        <w:rPr>
          <w:rFonts w:ascii="Verdana" w:hAnsi="Verdana"/>
        </w:rPr>
        <w:t>Situación típica de inspección en un panel de acopladores</w:t>
      </w:r>
    </w:p>
    <w:p w:rsidR="00807265" w:rsidRDefault="00E955B0" w:rsidP="00807265">
      <w:pPr>
        <w:rPr>
          <w:rFonts w:ascii="Verdana" w:hAnsi="Verdana"/>
          <w:i/>
        </w:rPr>
      </w:pPr>
      <w:r>
        <w:rPr>
          <w:rFonts w:ascii="Verdana" w:hAnsi="Verdana"/>
          <w:i/>
          <w:noProof/>
          <w:lang w:eastAsia="es-ES"/>
        </w:rPr>
        <w:drawing>
          <wp:inline distT="0" distB="0" distL="0" distR="0">
            <wp:extent cx="5849620" cy="1540510"/>
            <wp:effectExtent l="0" t="0" r="0" b="0"/>
            <wp:docPr id="6" name="Imagen 6" descr="C:\Users\dinamita\Desktop\sondas y microscopios\Figura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inamita\Desktop\sondas y microscopios\Figura 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9620" cy="1540510"/>
                    </a:xfrm>
                    <a:prstGeom prst="rect">
                      <a:avLst/>
                    </a:prstGeom>
                    <a:noFill/>
                    <a:ln>
                      <a:noFill/>
                    </a:ln>
                  </pic:spPr>
                </pic:pic>
              </a:graphicData>
            </a:graphic>
          </wp:inline>
        </w:drawing>
      </w:r>
    </w:p>
    <w:p w:rsidR="00E955B0" w:rsidRPr="00713DE9" w:rsidRDefault="00E955B0" w:rsidP="00807265">
      <w:pPr>
        <w:rPr>
          <w:rFonts w:ascii="Verdana" w:hAnsi="Verdana"/>
          <w:i/>
        </w:rPr>
      </w:pPr>
    </w:p>
    <w:p w:rsidR="00807265" w:rsidRPr="00DE7C62" w:rsidRDefault="00807265" w:rsidP="00807265">
      <w:pPr>
        <w:pStyle w:val="Prrafodelista"/>
        <w:numPr>
          <w:ilvl w:val="0"/>
          <w:numId w:val="11"/>
        </w:numPr>
        <w:rPr>
          <w:rFonts w:ascii="Verdana" w:hAnsi="Verdana"/>
          <w:b/>
        </w:rPr>
      </w:pPr>
      <w:r w:rsidRPr="00DE7C62">
        <w:rPr>
          <w:rFonts w:ascii="Verdana" w:hAnsi="Verdana"/>
          <w:b/>
        </w:rPr>
        <w:t>Contaminación inducida.</w:t>
      </w:r>
    </w:p>
    <w:p w:rsidR="00807265" w:rsidRPr="00713DE9" w:rsidRDefault="00807265" w:rsidP="00DA68DB">
      <w:pPr>
        <w:rPr>
          <w:rFonts w:ascii="Verdana" w:hAnsi="Verdana"/>
        </w:rPr>
      </w:pPr>
      <w:r w:rsidRPr="00713DE9">
        <w:rPr>
          <w:rFonts w:ascii="Verdana" w:hAnsi="Verdana"/>
        </w:rPr>
        <w:t>La contaminación inducida puede darse cuando se inserta un conector limpio en un acoplador sucio. Al enfrentar los conectores de ambos extremos, la suciedad y el polvo tienden a situarse sobre el centro de los conectores, y esto puede llegar a interferir la transmisión óptica, y producir daños más importantes.</w:t>
      </w:r>
    </w:p>
    <w:p w:rsidR="00807265" w:rsidRPr="00713DE9" w:rsidRDefault="00DE7C62" w:rsidP="00807265">
      <w:pPr>
        <w:rPr>
          <w:rFonts w:ascii="Verdana" w:hAnsi="Verdana"/>
          <w:i/>
        </w:rPr>
      </w:pPr>
      <w:r>
        <w:rPr>
          <w:rFonts w:ascii="Verdana" w:hAnsi="Verdana"/>
          <w:i/>
          <w:noProof/>
          <w:lang w:eastAsia="es-ES"/>
        </w:rPr>
        <w:lastRenderedPageBreak/>
        <w:drawing>
          <wp:inline distT="0" distB="0" distL="0" distR="0">
            <wp:extent cx="5849620" cy="2392680"/>
            <wp:effectExtent l="0" t="0" r="0" b="0"/>
            <wp:docPr id="7" name="Imagen 7" descr="C:\Users\dinamita\Desktop\sondas y microscopios\Figura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inamita\Desktop\sondas y microscopios\Figura 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9620" cy="2392680"/>
                    </a:xfrm>
                    <a:prstGeom prst="rect">
                      <a:avLst/>
                    </a:prstGeom>
                    <a:noFill/>
                    <a:ln>
                      <a:noFill/>
                    </a:ln>
                  </pic:spPr>
                </pic:pic>
              </a:graphicData>
            </a:graphic>
          </wp:inline>
        </w:drawing>
      </w:r>
      <w:r w:rsidR="00807265" w:rsidRPr="00DE7C62">
        <w:rPr>
          <w:rFonts w:ascii="Verdana" w:hAnsi="Verdana"/>
        </w:rPr>
        <w:t>Por ejemplo, consideremos el caso en el que un conector con contaminación inducida es conectado a un amplificador EDFA (</w:t>
      </w:r>
      <w:proofErr w:type="spellStart"/>
      <w:r w:rsidR="00807265" w:rsidRPr="00DE7C62">
        <w:rPr>
          <w:rFonts w:ascii="Verdana" w:hAnsi="Verdana"/>
        </w:rPr>
        <w:t>erbium</w:t>
      </w:r>
      <w:proofErr w:type="spellEnd"/>
      <w:r w:rsidR="00807265" w:rsidRPr="00DE7C62">
        <w:rPr>
          <w:rFonts w:ascii="Verdana" w:hAnsi="Verdana"/>
        </w:rPr>
        <w:t xml:space="preserve"> </w:t>
      </w:r>
      <w:proofErr w:type="spellStart"/>
      <w:r w:rsidR="00807265" w:rsidRPr="00DE7C62">
        <w:rPr>
          <w:rFonts w:ascii="Verdana" w:hAnsi="Verdana"/>
        </w:rPr>
        <w:t>doped</w:t>
      </w:r>
      <w:proofErr w:type="spellEnd"/>
      <w:r w:rsidR="00807265" w:rsidRPr="00DE7C62">
        <w:rPr>
          <w:rFonts w:ascii="Verdana" w:hAnsi="Verdana"/>
        </w:rPr>
        <w:t xml:space="preserve"> </w:t>
      </w:r>
      <w:proofErr w:type="spellStart"/>
      <w:r w:rsidR="00807265" w:rsidRPr="00DE7C62">
        <w:rPr>
          <w:rFonts w:ascii="Verdana" w:hAnsi="Verdana"/>
        </w:rPr>
        <w:t>fiber</w:t>
      </w:r>
      <w:proofErr w:type="spellEnd"/>
      <w:r w:rsidR="00807265" w:rsidRPr="00DE7C62">
        <w:rPr>
          <w:rFonts w:ascii="Verdana" w:hAnsi="Verdana"/>
        </w:rPr>
        <w:t xml:space="preserve"> </w:t>
      </w:r>
      <w:proofErr w:type="spellStart"/>
      <w:r w:rsidR="00807265" w:rsidRPr="00DE7C62">
        <w:rPr>
          <w:rFonts w:ascii="Verdana" w:hAnsi="Verdana"/>
        </w:rPr>
        <w:t>optic</w:t>
      </w:r>
      <w:proofErr w:type="spellEnd"/>
      <w:r w:rsidR="00807265" w:rsidRPr="00DE7C62">
        <w:rPr>
          <w:rFonts w:ascii="Verdana" w:hAnsi="Verdana"/>
        </w:rPr>
        <w:t xml:space="preserve"> </w:t>
      </w:r>
      <w:proofErr w:type="spellStart"/>
      <w:r w:rsidR="00807265" w:rsidRPr="00DE7C62">
        <w:rPr>
          <w:rFonts w:ascii="Verdana" w:hAnsi="Verdana"/>
        </w:rPr>
        <w:t>amplifier</w:t>
      </w:r>
      <w:proofErr w:type="spellEnd"/>
      <w:r w:rsidR="00807265" w:rsidRPr="00DE7C62">
        <w:rPr>
          <w:rFonts w:ascii="Verdana" w:hAnsi="Verdana"/>
        </w:rPr>
        <w:t xml:space="preserve">). La potencia de salida del EDFA es de alrededor de +25 </w:t>
      </w:r>
      <w:proofErr w:type="spellStart"/>
      <w:r w:rsidR="00807265" w:rsidRPr="00DE7C62">
        <w:rPr>
          <w:rFonts w:ascii="Verdana" w:hAnsi="Verdana"/>
        </w:rPr>
        <w:t>dBm</w:t>
      </w:r>
      <w:proofErr w:type="spellEnd"/>
      <w:r w:rsidR="00807265" w:rsidRPr="00DE7C62">
        <w:rPr>
          <w:rFonts w:ascii="Verdana" w:hAnsi="Verdana"/>
        </w:rPr>
        <w:t>. Con este nivel de potencia, las partículas de polvo y suciedad se queman</w:t>
      </w:r>
      <w:r w:rsidR="00DA68DB" w:rsidRPr="00DE7C62">
        <w:rPr>
          <w:rFonts w:ascii="Verdana" w:hAnsi="Verdana"/>
        </w:rPr>
        <w:t>, dañando permanentemente el conector, y, lo que es más importante, el EDFA, cuyo coste ronda los 10 000 $ USA.</w:t>
      </w:r>
    </w:p>
    <w:p w:rsidR="00DA68DB" w:rsidRDefault="00DE7C62" w:rsidP="00807265">
      <w:pPr>
        <w:rPr>
          <w:rFonts w:ascii="Verdana" w:hAnsi="Verdana"/>
          <w:i/>
        </w:rPr>
      </w:pPr>
      <w:r>
        <w:rPr>
          <w:rFonts w:ascii="Verdana" w:hAnsi="Verdana"/>
          <w:i/>
          <w:noProof/>
          <w:lang w:eastAsia="es-ES"/>
        </w:rPr>
        <w:drawing>
          <wp:inline distT="0" distB="0" distL="0" distR="0">
            <wp:extent cx="5849620" cy="2367280"/>
            <wp:effectExtent l="0" t="0" r="0" b="0"/>
            <wp:docPr id="8" name="Imagen 8" descr="C:\Users\dinamita\Desktop\sondas y microscopios\Figura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inamita\Desktop\sondas y microscopios\Figura 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9620" cy="2367280"/>
                    </a:xfrm>
                    <a:prstGeom prst="rect">
                      <a:avLst/>
                    </a:prstGeom>
                    <a:noFill/>
                    <a:ln>
                      <a:noFill/>
                    </a:ln>
                  </pic:spPr>
                </pic:pic>
              </a:graphicData>
            </a:graphic>
          </wp:inline>
        </w:drawing>
      </w:r>
    </w:p>
    <w:p w:rsidR="00DA68DB" w:rsidRPr="00DE7C62" w:rsidRDefault="00DA68DB" w:rsidP="00DA68DB">
      <w:pPr>
        <w:pStyle w:val="Prrafodelista"/>
        <w:numPr>
          <w:ilvl w:val="0"/>
          <w:numId w:val="11"/>
        </w:numPr>
        <w:rPr>
          <w:rFonts w:ascii="Verdana" w:hAnsi="Verdana"/>
          <w:b/>
        </w:rPr>
      </w:pPr>
      <w:r w:rsidRPr="00DE7C62">
        <w:rPr>
          <w:rFonts w:ascii="Verdana" w:hAnsi="Verdana"/>
          <w:b/>
        </w:rPr>
        <w:t xml:space="preserve">Aplicaciones de las </w:t>
      </w:r>
      <w:proofErr w:type="spellStart"/>
      <w:r w:rsidRPr="00DE7C62">
        <w:rPr>
          <w:rFonts w:ascii="Verdana" w:hAnsi="Verdana"/>
          <w:b/>
        </w:rPr>
        <w:t>FIPs</w:t>
      </w:r>
      <w:proofErr w:type="spellEnd"/>
      <w:r w:rsidRPr="00DE7C62">
        <w:rPr>
          <w:rFonts w:ascii="Verdana" w:hAnsi="Verdana"/>
          <w:b/>
        </w:rPr>
        <w:t>.</w:t>
      </w:r>
    </w:p>
    <w:p w:rsidR="00DA68DB" w:rsidRPr="00713DE9" w:rsidRDefault="00DA68DB" w:rsidP="00DA68DB">
      <w:pPr>
        <w:rPr>
          <w:rFonts w:ascii="Verdana" w:hAnsi="Verdana"/>
        </w:rPr>
      </w:pPr>
      <w:r w:rsidRPr="00713DE9">
        <w:rPr>
          <w:rFonts w:ascii="Verdana" w:hAnsi="Verdana"/>
        </w:rPr>
        <w:t>Muchas de las necesidades de inspección requieren de una FIP para su realización. He aquí algunos ejemplos:</w:t>
      </w:r>
    </w:p>
    <w:p w:rsidR="00DA68DB" w:rsidRPr="00713DE9" w:rsidRDefault="00DA68DB" w:rsidP="00DA68DB">
      <w:pPr>
        <w:pStyle w:val="Prrafodelista"/>
        <w:numPr>
          <w:ilvl w:val="0"/>
          <w:numId w:val="12"/>
        </w:numPr>
        <w:rPr>
          <w:rFonts w:ascii="Verdana" w:hAnsi="Verdana"/>
        </w:rPr>
      </w:pPr>
      <w:r w:rsidRPr="00713DE9">
        <w:rPr>
          <w:rFonts w:ascii="Verdana" w:hAnsi="Verdana"/>
        </w:rPr>
        <w:t>Entornos de producción o laboratorio donde la FIP se conecta a un equipo de producción o medida</w:t>
      </w:r>
    </w:p>
    <w:p w:rsidR="00DA68DB" w:rsidRPr="00713DE9" w:rsidRDefault="00DA68DB" w:rsidP="00DA68DB">
      <w:pPr>
        <w:pStyle w:val="Prrafodelista"/>
        <w:numPr>
          <w:ilvl w:val="0"/>
          <w:numId w:val="12"/>
        </w:numPr>
        <w:rPr>
          <w:rFonts w:ascii="Verdana" w:hAnsi="Verdana"/>
        </w:rPr>
      </w:pPr>
      <w:r w:rsidRPr="00713DE9">
        <w:rPr>
          <w:rFonts w:ascii="Verdana" w:hAnsi="Verdana"/>
        </w:rPr>
        <w:t xml:space="preserve">Aplicaciones de producción, laboratorio o montaje </w:t>
      </w:r>
      <w:proofErr w:type="spellStart"/>
      <w:r w:rsidRPr="00713DE9">
        <w:rPr>
          <w:rFonts w:ascii="Verdana" w:hAnsi="Verdana"/>
        </w:rPr>
        <w:t>enj</w:t>
      </w:r>
      <w:proofErr w:type="spellEnd"/>
      <w:r w:rsidRPr="00713DE9">
        <w:rPr>
          <w:rFonts w:ascii="Verdana" w:hAnsi="Verdana"/>
        </w:rPr>
        <w:t xml:space="preserve"> las que la FIP se conecta a un ordenador</w:t>
      </w:r>
    </w:p>
    <w:p w:rsidR="00DA68DB" w:rsidRPr="00713DE9" w:rsidRDefault="00DA68DB" w:rsidP="00DA68DB">
      <w:pPr>
        <w:pStyle w:val="Prrafodelista"/>
        <w:numPr>
          <w:ilvl w:val="0"/>
          <w:numId w:val="12"/>
        </w:numPr>
        <w:rPr>
          <w:rFonts w:ascii="Verdana" w:hAnsi="Verdana"/>
        </w:rPr>
      </w:pPr>
      <w:r w:rsidRPr="00713DE9">
        <w:rPr>
          <w:rFonts w:ascii="Verdana" w:hAnsi="Verdana"/>
        </w:rPr>
        <w:lastRenderedPageBreak/>
        <w:t>Aplicaciones en campo donde la FIP se conecta a un equipo de medida</w:t>
      </w:r>
    </w:p>
    <w:p w:rsidR="00DA68DB" w:rsidRPr="00713DE9" w:rsidRDefault="00DA68DB" w:rsidP="00DA68DB">
      <w:pPr>
        <w:pStyle w:val="Prrafodelista"/>
        <w:numPr>
          <w:ilvl w:val="0"/>
          <w:numId w:val="12"/>
        </w:numPr>
        <w:rPr>
          <w:rFonts w:ascii="Verdana" w:hAnsi="Verdana"/>
        </w:rPr>
      </w:pPr>
      <w:r w:rsidRPr="00713DE9">
        <w:rPr>
          <w:rFonts w:ascii="Verdana" w:hAnsi="Verdana"/>
        </w:rPr>
        <w:t>Generación de certificados de origen, en los que se incluye una imagen del conector como referencia actual o futura.</w:t>
      </w:r>
    </w:p>
    <w:p w:rsidR="00DA68DB" w:rsidRDefault="00DA68DB" w:rsidP="00DA68DB">
      <w:pPr>
        <w:rPr>
          <w:rFonts w:ascii="Verdana" w:hAnsi="Verdana"/>
        </w:rPr>
      </w:pPr>
      <w:r w:rsidRPr="00713DE9">
        <w:rPr>
          <w:rFonts w:ascii="Verdana" w:hAnsi="Verdana"/>
        </w:rPr>
        <w:t>Todas estas aplicaciones hacen de la FIP una herramienta muy versátil. Ninguna de ellas será favorablemente resuelta con un microscopio para fibra óptica.</w:t>
      </w:r>
    </w:p>
    <w:p w:rsidR="00DE7C62" w:rsidRPr="00713DE9" w:rsidRDefault="00DE7C62" w:rsidP="00DA68DB">
      <w:pPr>
        <w:rPr>
          <w:rFonts w:ascii="Verdana" w:hAnsi="Verdana"/>
        </w:rPr>
      </w:pPr>
    </w:p>
    <w:p w:rsidR="00DE7C62" w:rsidRDefault="00DE7C62" w:rsidP="00DA68DB">
      <w:pPr>
        <w:rPr>
          <w:rFonts w:ascii="Verdana" w:hAnsi="Verdana"/>
        </w:rPr>
      </w:pPr>
      <w:r>
        <w:rPr>
          <w:rFonts w:ascii="Verdana" w:hAnsi="Verdana"/>
          <w:b/>
          <w:noProof/>
          <w:lang w:eastAsia="es-ES"/>
        </w:rPr>
        <w:drawing>
          <wp:inline distT="0" distB="0" distL="0" distR="0">
            <wp:extent cx="5849620" cy="3344545"/>
            <wp:effectExtent l="0" t="0" r="0" b="0"/>
            <wp:docPr id="9" name="Imagen 9" descr="C:\Users\dinamita\Desktop\sondas y microscopios\Figur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namita\Desktop\sondas y microscopios\Figura 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49620" cy="3344545"/>
                    </a:xfrm>
                    <a:prstGeom prst="rect">
                      <a:avLst/>
                    </a:prstGeom>
                    <a:noFill/>
                    <a:ln>
                      <a:noFill/>
                    </a:ln>
                  </pic:spPr>
                </pic:pic>
              </a:graphicData>
            </a:graphic>
          </wp:inline>
        </w:drawing>
      </w:r>
    </w:p>
    <w:p w:rsidR="00DA68DB" w:rsidRPr="00713DE9" w:rsidRDefault="002D6C25" w:rsidP="00DA68DB">
      <w:pPr>
        <w:rPr>
          <w:rFonts w:ascii="Verdana" w:hAnsi="Verdana"/>
        </w:rPr>
      </w:pPr>
      <w:r w:rsidRPr="00713DE9">
        <w:rPr>
          <w:rFonts w:ascii="Verdana" w:hAnsi="Verdana"/>
        </w:rPr>
        <w:t>Inicialmente</w:t>
      </w:r>
      <w:r w:rsidR="00DA68DB" w:rsidRPr="00713DE9">
        <w:rPr>
          <w:rFonts w:ascii="Verdana" w:hAnsi="Verdana"/>
        </w:rPr>
        <w:t xml:space="preserve">, la FIP es más cara que el microscopio para fibra óptica. No obstante, si consideramos los riesgos y costes potenciales de la utilización de los microscopios, la inversión en una FIP está plenamente justificada. He aquí algunas situaciones en las cuales resulta más costoso el no estar equipado con la herramienta adecuada a cada trabajo </w:t>
      </w:r>
      <w:r w:rsidRPr="00713DE9">
        <w:rPr>
          <w:rFonts w:ascii="Verdana" w:hAnsi="Verdana"/>
        </w:rPr>
        <w:t>concreto</w:t>
      </w:r>
      <w:r w:rsidR="00DA68DB" w:rsidRPr="00713DE9">
        <w:rPr>
          <w:rFonts w:ascii="Verdana" w:hAnsi="Verdana"/>
        </w:rPr>
        <w:t>:</w:t>
      </w:r>
    </w:p>
    <w:p w:rsidR="00DA68DB" w:rsidRPr="00713DE9" w:rsidRDefault="00DA68DB" w:rsidP="00DA68DB">
      <w:pPr>
        <w:pStyle w:val="Prrafodelista"/>
        <w:numPr>
          <w:ilvl w:val="0"/>
          <w:numId w:val="14"/>
        </w:numPr>
        <w:rPr>
          <w:rFonts w:ascii="Verdana" w:hAnsi="Verdana"/>
        </w:rPr>
      </w:pPr>
      <w:r w:rsidRPr="00713DE9">
        <w:rPr>
          <w:rFonts w:ascii="Verdana" w:hAnsi="Verdana"/>
        </w:rPr>
        <w:t>Lucro cesante debido a cortes en la red</w:t>
      </w:r>
      <w:r w:rsidR="0049314D" w:rsidRPr="00713DE9">
        <w:rPr>
          <w:rFonts w:ascii="Verdana" w:hAnsi="Verdana"/>
        </w:rPr>
        <w:t>, como consecuencia de fallos no corregidos</w:t>
      </w:r>
    </w:p>
    <w:p w:rsidR="0049314D" w:rsidRPr="00713DE9" w:rsidRDefault="0049314D" w:rsidP="00DA68DB">
      <w:pPr>
        <w:pStyle w:val="Prrafodelista"/>
        <w:numPr>
          <w:ilvl w:val="0"/>
          <w:numId w:val="14"/>
        </w:numPr>
        <w:rPr>
          <w:rFonts w:ascii="Verdana" w:hAnsi="Verdana"/>
        </w:rPr>
      </w:pPr>
      <w:r w:rsidRPr="00713DE9">
        <w:rPr>
          <w:rFonts w:ascii="Verdana" w:hAnsi="Verdana"/>
        </w:rPr>
        <w:t>Posibilidad de accidentes laborales, como consecuencia de inspección accidental de fibras activas</w:t>
      </w:r>
    </w:p>
    <w:p w:rsidR="0049314D" w:rsidRPr="00713DE9" w:rsidRDefault="0049314D" w:rsidP="00DA68DB">
      <w:pPr>
        <w:pStyle w:val="Prrafodelista"/>
        <w:numPr>
          <w:ilvl w:val="0"/>
          <w:numId w:val="14"/>
        </w:numPr>
        <w:rPr>
          <w:rFonts w:ascii="Verdana" w:hAnsi="Verdana"/>
        </w:rPr>
      </w:pPr>
      <w:r w:rsidRPr="00713DE9">
        <w:rPr>
          <w:rFonts w:ascii="Verdana" w:hAnsi="Verdana"/>
        </w:rPr>
        <w:t xml:space="preserve">Daños en componentes activos costosos, como los </w:t>
      </w:r>
      <w:proofErr w:type="spellStart"/>
      <w:r w:rsidRPr="00713DE9">
        <w:rPr>
          <w:rFonts w:ascii="Verdana" w:hAnsi="Verdana"/>
        </w:rPr>
        <w:t>EDFAs</w:t>
      </w:r>
      <w:proofErr w:type="spellEnd"/>
    </w:p>
    <w:p w:rsidR="0049314D" w:rsidRPr="00713DE9" w:rsidRDefault="0049314D" w:rsidP="00DA68DB">
      <w:pPr>
        <w:pStyle w:val="Prrafodelista"/>
        <w:numPr>
          <w:ilvl w:val="0"/>
          <w:numId w:val="14"/>
        </w:numPr>
        <w:rPr>
          <w:rFonts w:ascii="Verdana" w:hAnsi="Verdana"/>
        </w:rPr>
      </w:pPr>
      <w:r w:rsidRPr="00713DE9">
        <w:rPr>
          <w:rFonts w:ascii="Verdana" w:hAnsi="Verdana"/>
        </w:rPr>
        <w:t>Fallos en la red debidos a la contaminación inducida</w:t>
      </w:r>
    </w:p>
    <w:p w:rsidR="0049314D" w:rsidRPr="00713DE9" w:rsidRDefault="0049314D" w:rsidP="00DA68DB">
      <w:pPr>
        <w:pStyle w:val="Prrafodelista"/>
        <w:numPr>
          <w:ilvl w:val="0"/>
          <w:numId w:val="14"/>
        </w:numPr>
        <w:rPr>
          <w:rFonts w:ascii="Verdana" w:hAnsi="Verdana"/>
        </w:rPr>
      </w:pPr>
      <w:r w:rsidRPr="00713DE9">
        <w:rPr>
          <w:rFonts w:ascii="Verdana" w:hAnsi="Verdana"/>
        </w:rPr>
        <w:t>Baja productividad asociada a soluciones de inspección incompletas al utilizar FOMS ( no diseñados para la inspección de acopladores)</w:t>
      </w:r>
    </w:p>
    <w:p w:rsidR="0049314D" w:rsidRPr="00713DE9" w:rsidRDefault="0049314D" w:rsidP="0049314D">
      <w:pPr>
        <w:pStyle w:val="Prrafodelista"/>
        <w:rPr>
          <w:rFonts w:ascii="Verdana" w:hAnsi="Verdana"/>
        </w:rPr>
      </w:pPr>
    </w:p>
    <w:p w:rsidR="0049314D" w:rsidRPr="00DE7C62" w:rsidRDefault="0049314D" w:rsidP="0049314D">
      <w:pPr>
        <w:pStyle w:val="Prrafodelista"/>
        <w:numPr>
          <w:ilvl w:val="0"/>
          <w:numId w:val="12"/>
        </w:numPr>
        <w:rPr>
          <w:rFonts w:ascii="Verdana" w:hAnsi="Verdana"/>
          <w:b/>
        </w:rPr>
      </w:pPr>
      <w:r w:rsidRPr="00DE7C62">
        <w:rPr>
          <w:rFonts w:ascii="Verdana" w:hAnsi="Verdana"/>
          <w:b/>
        </w:rPr>
        <w:t>Tabla resumen.</w:t>
      </w:r>
    </w:p>
    <w:tbl>
      <w:tblPr>
        <w:tblStyle w:val="Tablaconcuadrcula"/>
        <w:tblW w:w="0" w:type="auto"/>
        <w:tblInd w:w="720" w:type="dxa"/>
        <w:tblLook w:val="04A0" w:firstRow="1" w:lastRow="0" w:firstColumn="1" w:lastColumn="0" w:noHBand="0" w:noVBand="1"/>
      </w:tblPr>
      <w:tblGrid>
        <w:gridCol w:w="2938"/>
        <w:gridCol w:w="2873"/>
        <w:gridCol w:w="2898"/>
      </w:tblGrid>
      <w:tr w:rsidR="0049314D" w:rsidRPr="00713DE9" w:rsidTr="0049314D">
        <w:tc>
          <w:tcPr>
            <w:tcW w:w="3118" w:type="dxa"/>
          </w:tcPr>
          <w:p w:rsidR="0049314D" w:rsidRPr="00713DE9" w:rsidRDefault="0049314D" w:rsidP="0049314D">
            <w:pPr>
              <w:pStyle w:val="Prrafodelista"/>
              <w:ind w:left="0"/>
              <w:jc w:val="center"/>
              <w:rPr>
                <w:rFonts w:ascii="Verdana" w:hAnsi="Verdana"/>
              </w:rPr>
            </w:pPr>
          </w:p>
        </w:tc>
        <w:tc>
          <w:tcPr>
            <w:tcW w:w="3118" w:type="dxa"/>
          </w:tcPr>
          <w:p w:rsidR="0049314D" w:rsidRPr="00713DE9" w:rsidRDefault="0049314D" w:rsidP="0049314D">
            <w:pPr>
              <w:pStyle w:val="Prrafodelista"/>
              <w:ind w:left="0"/>
              <w:jc w:val="center"/>
              <w:rPr>
                <w:rFonts w:ascii="Verdana" w:hAnsi="Verdana"/>
                <w:b/>
              </w:rPr>
            </w:pPr>
            <w:r w:rsidRPr="00713DE9">
              <w:rPr>
                <w:rFonts w:ascii="Verdana" w:hAnsi="Verdana"/>
                <w:b/>
              </w:rPr>
              <w:t>Sonda de inspección (FIP)</w:t>
            </w:r>
          </w:p>
        </w:tc>
        <w:tc>
          <w:tcPr>
            <w:tcW w:w="3118" w:type="dxa"/>
          </w:tcPr>
          <w:p w:rsidR="0049314D" w:rsidRPr="00713DE9" w:rsidRDefault="0049314D" w:rsidP="0049314D">
            <w:pPr>
              <w:pStyle w:val="Prrafodelista"/>
              <w:ind w:left="0"/>
              <w:jc w:val="center"/>
              <w:rPr>
                <w:rFonts w:ascii="Verdana" w:hAnsi="Verdana"/>
                <w:b/>
              </w:rPr>
            </w:pPr>
            <w:r w:rsidRPr="00713DE9">
              <w:rPr>
                <w:rFonts w:ascii="Verdana" w:hAnsi="Verdana"/>
                <w:b/>
              </w:rPr>
              <w:t>Microscopio (FOMS)</w:t>
            </w:r>
          </w:p>
        </w:tc>
      </w:tr>
      <w:tr w:rsidR="0049314D" w:rsidRPr="00713DE9" w:rsidTr="0049314D">
        <w:tc>
          <w:tcPr>
            <w:tcW w:w="3118" w:type="dxa"/>
          </w:tcPr>
          <w:p w:rsidR="0049314D" w:rsidRPr="00713DE9" w:rsidRDefault="0049314D" w:rsidP="0049314D">
            <w:pPr>
              <w:pStyle w:val="Prrafodelista"/>
              <w:ind w:left="0"/>
              <w:jc w:val="center"/>
              <w:rPr>
                <w:rFonts w:ascii="Verdana" w:hAnsi="Verdana"/>
                <w:b/>
              </w:rPr>
            </w:pPr>
            <w:r w:rsidRPr="00713DE9">
              <w:rPr>
                <w:rFonts w:ascii="Verdana" w:hAnsi="Verdana"/>
                <w:b/>
              </w:rPr>
              <w:t>Seguridad en la vista</w:t>
            </w:r>
          </w:p>
        </w:tc>
        <w:tc>
          <w:tcPr>
            <w:tcW w:w="3118" w:type="dxa"/>
          </w:tcPr>
          <w:p w:rsidR="0049314D" w:rsidRPr="00713DE9" w:rsidRDefault="00FF0798" w:rsidP="0049314D">
            <w:pPr>
              <w:pStyle w:val="Prrafodelista"/>
              <w:ind w:left="0"/>
              <w:jc w:val="center"/>
              <w:rPr>
                <w:rFonts w:ascii="Verdana" w:hAnsi="Verdana"/>
              </w:rPr>
            </w:pPr>
            <w:r w:rsidRPr="00713DE9">
              <w:rPr>
                <w:rFonts w:ascii="Verdana" w:hAnsi="Verdana"/>
              </w:rPr>
              <w:t>Visión indirecta de la imagen, sin riesgo para la vista</w:t>
            </w:r>
          </w:p>
        </w:tc>
        <w:tc>
          <w:tcPr>
            <w:tcW w:w="3118" w:type="dxa"/>
          </w:tcPr>
          <w:p w:rsidR="0049314D" w:rsidRPr="00713DE9" w:rsidRDefault="00FF0798" w:rsidP="0049314D">
            <w:pPr>
              <w:pStyle w:val="Prrafodelista"/>
              <w:ind w:left="0"/>
              <w:jc w:val="center"/>
              <w:rPr>
                <w:rFonts w:ascii="Verdana" w:hAnsi="Verdana"/>
              </w:rPr>
            </w:pPr>
            <w:r w:rsidRPr="00713DE9">
              <w:rPr>
                <w:rFonts w:ascii="Verdana" w:hAnsi="Verdana"/>
              </w:rPr>
              <w:t>Visión directa de la imagen, que depende de un filtro interno para protección de la vista. Alto riesgo de daños oculares en caso de mal</w:t>
            </w:r>
            <w:r w:rsidR="00DE7C62">
              <w:rPr>
                <w:rFonts w:ascii="Verdana" w:hAnsi="Verdana"/>
              </w:rPr>
              <w:t xml:space="preserve">a </w:t>
            </w:r>
            <w:r w:rsidRPr="00713DE9">
              <w:rPr>
                <w:rFonts w:ascii="Verdana" w:hAnsi="Verdana"/>
              </w:rPr>
              <w:t>función o avería del filtro</w:t>
            </w:r>
          </w:p>
        </w:tc>
      </w:tr>
      <w:tr w:rsidR="0049314D" w:rsidRPr="00713DE9" w:rsidTr="0049314D">
        <w:tc>
          <w:tcPr>
            <w:tcW w:w="3118" w:type="dxa"/>
          </w:tcPr>
          <w:p w:rsidR="0049314D" w:rsidRPr="00713DE9" w:rsidRDefault="0049314D" w:rsidP="0049314D">
            <w:pPr>
              <w:pStyle w:val="Prrafodelista"/>
              <w:ind w:left="0"/>
              <w:jc w:val="center"/>
              <w:rPr>
                <w:rFonts w:ascii="Verdana" w:hAnsi="Verdana"/>
                <w:b/>
              </w:rPr>
            </w:pPr>
            <w:r w:rsidRPr="00713DE9">
              <w:rPr>
                <w:rFonts w:ascii="Verdana" w:hAnsi="Verdana"/>
                <w:b/>
              </w:rPr>
              <w:t>Inspección de conectores y acopladores de panel</w:t>
            </w:r>
          </w:p>
        </w:tc>
        <w:tc>
          <w:tcPr>
            <w:tcW w:w="3118" w:type="dxa"/>
          </w:tcPr>
          <w:p w:rsidR="0049314D" w:rsidRPr="00713DE9" w:rsidRDefault="00FF0798" w:rsidP="0049314D">
            <w:pPr>
              <w:pStyle w:val="Prrafodelista"/>
              <w:ind w:left="0"/>
              <w:jc w:val="center"/>
              <w:rPr>
                <w:rFonts w:ascii="Verdana" w:hAnsi="Verdana"/>
              </w:rPr>
            </w:pPr>
            <w:r w:rsidRPr="00713DE9">
              <w:rPr>
                <w:rFonts w:ascii="Verdana" w:hAnsi="Verdana"/>
              </w:rPr>
              <w:t xml:space="preserve">Gran variedad de </w:t>
            </w:r>
            <w:r w:rsidR="002D6C25" w:rsidRPr="00713DE9">
              <w:rPr>
                <w:rFonts w:ascii="Verdana" w:hAnsi="Verdana"/>
              </w:rPr>
              <w:t>adaptadores</w:t>
            </w:r>
            <w:r w:rsidRPr="00713DE9">
              <w:rPr>
                <w:rFonts w:ascii="Verdana" w:hAnsi="Verdana"/>
              </w:rPr>
              <w:t xml:space="preserve"> para inspeccionar tanto ferrules de conector (macho) como acopladores de panel (Hembra)</w:t>
            </w:r>
          </w:p>
        </w:tc>
        <w:tc>
          <w:tcPr>
            <w:tcW w:w="3118" w:type="dxa"/>
          </w:tcPr>
          <w:p w:rsidR="0049314D" w:rsidRPr="00713DE9" w:rsidRDefault="00FF0798" w:rsidP="00FF0798">
            <w:pPr>
              <w:pStyle w:val="Prrafodelista"/>
              <w:ind w:left="0"/>
              <w:jc w:val="center"/>
              <w:rPr>
                <w:rFonts w:ascii="Verdana" w:hAnsi="Verdana"/>
              </w:rPr>
            </w:pPr>
            <w:r w:rsidRPr="00713DE9">
              <w:rPr>
                <w:rFonts w:ascii="Verdana" w:hAnsi="Verdana"/>
              </w:rPr>
              <w:t xml:space="preserve">No pueden ser </w:t>
            </w:r>
            <w:r w:rsidR="002D6C25" w:rsidRPr="00713DE9">
              <w:rPr>
                <w:rFonts w:ascii="Verdana" w:hAnsi="Verdana"/>
              </w:rPr>
              <w:t>utilizados</w:t>
            </w:r>
            <w:r w:rsidRPr="00713DE9">
              <w:rPr>
                <w:rFonts w:ascii="Verdana" w:hAnsi="Verdana"/>
              </w:rPr>
              <w:t xml:space="preserve"> para la inspección de acopladores de panel (Hembras), por razones de diseño (Inserción de ferrule- macho)</w:t>
            </w:r>
          </w:p>
        </w:tc>
      </w:tr>
      <w:tr w:rsidR="0049314D" w:rsidRPr="00713DE9" w:rsidTr="0049314D">
        <w:tc>
          <w:tcPr>
            <w:tcW w:w="3118" w:type="dxa"/>
          </w:tcPr>
          <w:p w:rsidR="0049314D" w:rsidRPr="00713DE9" w:rsidRDefault="0049314D" w:rsidP="0049314D">
            <w:pPr>
              <w:pStyle w:val="Prrafodelista"/>
              <w:ind w:left="0"/>
              <w:jc w:val="center"/>
              <w:rPr>
                <w:rFonts w:ascii="Verdana" w:hAnsi="Verdana"/>
                <w:b/>
              </w:rPr>
            </w:pPr>
            <w:r w:rsidRPr="00713DE9">
              <w:rPr>
                <w:rFonts w:ascii="Verdana" w:hAnsi="Verdana"/>
                <w:b/>
              </w:rPr>
              <w:t>Contaminación inducida</w:t>
            </w:r>
          </w:p>
        </w:tc>
        <w:tc>
          <w:tcPr>
            <w:tcW w:w="3118" w:type="dxa"/>
          </w:tcPr>
          <w:p w:rsidR="0049314D" w:rsidRPr="00713DE9" w:rsidRDefault="00FF0798" w:rsidP="0049314D">
            <w:pPr>
              <w:pStyle w:val="Prrafodelista"/>
              <w:ind w:left="0"/>
              <w:jc w:val="center"/>
              <w:rPr>
                <w:rFonts w:ascii="Verdana" w:hAnsi="Verdana"/>
              </w:rPr>
            </w:pPr>
            <w:r w:rsidRPr="00713DE9">
              <w:rPr>
                <w:rFonts w:ascii="Verdana" w:hAnsi="Verdana"/>
              </w:rPr>
              <w:t>Se elimina, al poder comprobar tanto los conectores como los acopladores</w:t>
            </w:r>
          </w:p>
        </w:tc>
        <w:tc>
          <w:tcPr>
            <w:tcW w:w="3118" w:type="dxa"/>
          </w:tcPr>
          <w:p w:rsidR="0049314D" w:rsidRPr="00713DE9" w:rsidRDefault="00FF0798" w:rsidP="0049314D">
            <w:pPr>
              <w:pStyle w:val="Prrafodelista"/>
              <w:ind w:left="0"/>
              <w:jc w:val="center"/>
              <w:rPr>
                <w:rFonts w:ascii="Verdana" w:hAnsi="Verdana"/>
              </w:rPr>
            </w:pPr>
            <w:r w:rsidRPr="00713DE9">
              <w:rPr>
                <w:rFonts w:ascii="Verdana" w:hAnsi="Verdana"/>
              </w:rPr>
              <w:t>La contaminación inducida es un problema importante: La inserción de un conector limpio en un acoplador sucio</w:t>
            </w:r>
            <w:r w:rsidR="002D6C25" w:rsidRPr="00713DE9">
              <w:rPr>
                <w:rFonts w:ascii="Verdana" w:hAnsi="Verdana"/>
              </w:rPr>
              <w:t xml:space="preserve"> contamina el conector</w:t>
            </w:r>
          </w:p>
        </w:tc>
      </w:tr>
      <w:tr w:rsidR="0049314D" w:rsidRPr="00713DE9" w:rsidTr="0049314D">
        <w:tc>
          <w:tcPr>
            <w:tcW w:w="3118" w:type="dxa"/>
          </w:tcPr>
          <w:p w:rsidR="0049314D" w:rsidRPr="00713DE9" w:rsidRDefault="0049314D" w:rsidP="0049314D">
            <w:pPr>
              <w:pStyle w:val="Prrafodelista"/>
              <w:ind w:left="0"/>
              <w:jc w:val="center"/>
              <w:rPr>
                <w:rFonts w:ascii="Verdana" w:hAnsi="Verdana"/>
                <w:b/>
              </w:rPr>
            </w:pPr>
            <w:r w:rsidRPr="00713DE9">
              <w:rPr>
                <w:rFonts w:ascii="Verdana" w:hAnsi="Verdana"/>
                <w:b/>
              </w:rPr>
              <w:t xml:space="preserve">Conectividad a </w:t>
            </w:r>
            <w:proofErr w:type="spellStart"/>
            <w:r w:rsidRPr="00713DE9">
              <w:rPr>
                <w:rFonts w:ascii="Verdana" w:hAnsi="Verdana"/>
                <w:b/>
              </w:rPr>
              <w:t>PCs</w:t>
            </w:r>
            <w:proofErr w:type="spellEnd"/>
            <w:r w:rsidRPr="00713DE9">
              <w:rPr>
                <w:rFonts w:ascii="Verdana" w:hAnsi="Verdana"/>
                <w:b/>
              </w:rPr>
              <w:t>, plataformas y equipos de medida</w:t>
            </w:r>
          </w:p>
        </w:tc>
        <w:tc>
          <w:tcPr>
            <w:tcW w:w="3118" w:type="dxa"/>
          </w:tcPr>
          <w:p w:rsidR="0049314D" w:rsidRPr="00713DE9" w:rsidRDefault="00FF0798" w:rsidP="0049314D">
            <w:pPr>
              <w:pStyle w:val="Prrafodelista"/>
              <w:ind w:left="0"/>
              <w:jc w:val="center"/>
              <w:rPr>
                <w:rFonts w:ascii="Verdana" w:hAnsi="Verdana"/>
              </w:rPr>
            </w:pPr>
            <w:r w:rsidRPr="00713DE9">
              <w:rPr>
                <w:rFonts w:ascii="Verdana" w:hAnsi="Verdana"/>
              </w:rPr>
              <w:t>La mayoría de las sondas pueden conectarse a ordenadores, plataformas y equipos de medida.</w:t>
            </w:r>
          </w:p>
          <w:p w:rsidR="00FF0798" w:rsidRPr="00713DE9" w:rsidRDefault="00FF0798" w:rsidP="0049314D">
            <w:pPr>
              <w:pStyle w:val="Prrafodelista"/>
              <w:ind w:left="0"/>
              <w:jc w:val="center"/>
              <w:rPr>
                <w:rFonts w:ascii="Verdana" w:hAnsi="Verdana"/>
              </w:rPr>
            </w:pPr>
            <w:r w:rsidRPr="00713DE9">
              <w:rPr>
                <w:rFonts w:ascii="Verdana" w:hAnsi="Verdana"/>
              </w:rPr>
              <w:t>Las imágenes pueden ser almacenadas para su</w:t>
            </w:r>
            <w:r w:rsidR="002D6C25" w:rsidRPr="00713DE9">
              <w:rPr>
                <w:rFonts w:ascii="Verdana" w:hAnsi="Verdana"/>
              </w:rPr>
              <w:t xml:space="preserve"> u</w:t>
            </w:r>
            <w:r w:rsidRPr="00713DE9">
              <w:rPr>
                <w:rFonts w:ascii="Verdana" w:hAnsi="Verdana"/>
              </w:rPr>
              <w:t>tilización en informes o como referencias</w:t>
            </w:r>
          </w:p>
        </w:tc>
        <w:tc>
          <w:tcPr>
            <w:tcW w:w="3118" w:type="dxa"/>
          </w:tcPr>
          <w:p w:rsidR="0049314D" w:rsidRPr="00713DE9" w:rsidRDefault="002D6C25" w:rsidP="0049314D">
            <w:pPr>
              <w:pStyle w:val="Prrafodelista"/>
              <w:ind w:left="0"/>
              <w:jc w:val="center"/>
              <w:rPr>
                <w:rFonts w:ascii="Verdana" w:hAnsi="Verdana"/>
              </w:rPr>
            </w:pPr>
            <w:r w:rsidRPr="00713DE9">
              <w:rPr>
                <w:rFonts w:ascii="Verdana" w:hAnsi="Verdana"/>
              </w:rPr>
              <w:t>No pueden ser conectados a ordenadores, equipos o plataformas.</w:t>
            </w:r>
          </w:p>
          <w:p w:rsidR="002D6C25" w:rsidRPr="00713DE9" w:rsidRDefault="002D6C25" w:rsidP="0049314D">
            <w:pPr>
              <w:pStyle w:val="Prrafodelista"/>
              <w:ind w:left="0"/>
              <w:jc w:val="center"/>
              <w:rPr>
                <w:rFonts w:ascii="Verdana" w:hAnsi="Verdana"/>
              </w:rPr>
            </w:pPr>
            <w:r w:rsidRPr="00713DE9">
              <w:rPr>
                <w:rFonts w:ascii="Verdana" w:hAnsi="Verdana"/>
              </w:rPr>
              <w:t>Las imágenes no pueden ser almacenadas</w:t>
            </w:r>
          </w:p>
        </w:tc>
      </w:tr>
      <w:tr w:rsidR="0049314D" w:rsidRPr="00713DE9" w:rsidTr="0049314D">
        <w:tc>
          <w:tcPr>
            <w:tcW w:w="3118" w:type="dxa"/>
          </w:tcPr>
          <w:p w:rsidR="0049314D" w:rsidRPr="00713DE9" w:rsidRDefault="0049314D" w:rsidP="0049314D">
            <w:pPr>
              <w:pStyle w:val="Prrafodelista"/>
              <w:ind w:left="0"/>
              <w:jc w:val="center"/>
              <w:rPr>
                <w:rFonts w:ascii="Verdana" w:hAnsi="Verdana"/>
                <w:b/>
              </w:rPr>
            </w:pPr>
            <w:r w:rsidRPr="00713DE9">
              <w:rPr>
                <w:rFonts w:ascii="Verdana" w:hAnsi="Verdana"/>
                <w:b/>
              </w:rPr>
              <w:t>Coste</w:t>
            </w:r>
          </w:p>
        </w:tc>
        <w:tc>
          <w:tcPr>
            <w:tcW w:w="3118" w:type="dxa"/>
          </w:tcPr>
          <w:p w:rsidR="0049314D" w:rsidRPr="00713DE9" w:rsidRDefault="00FF0798" w:rsidP="0049314D">
            <w:pPr>
              <w:pStyle w:val="Prrafodelista"/>
              <w:ind w:left="0"/>
              <w:jc w:val="center"/>
              <w:rPr>
                <w:rFonts w:ascii="Verdana" w:hAnsi="Verdana"/>
              </w:rPr>
            </w:pPr>
            <w:r w:rsidRPr="00713DE9">
              <w:rPr>
                <w:rFonts w:ascii="Verdana" w:hAnsi="Verdana"/>
              </w:rPr>
              <w:t xml:space="preserve">Alto coste inicial, pero con alta rentabilidad a </w:t>
            </w:r>
            <w:proofErr w:type="spellStart"/>
            <w:r w:rsidRPr="00713DE9">
              <w:rPr>
                <w:rFonts w:ascii="Verdana" w:hAnsi="Verdana"/>
              </w:rPr>
              <w:t>laro</w:t>
            </w:r>
            <w:proofErr w:type="spellEnd"/>
            <w:r w:rsidRPr="00713DE9">
              <w:rPr>
                <w:rFonts w:ascii="Verdana" w:hAnsi="Verdana"/>
              </w:rPr>
              <w:t xml:space="preserve"> plazo </w:t>
            </w:r>
          </w:p>
        </w:tc>
        <w:tc>
          <w:tcPr>
            <w:tcW w:w="3118" w:type="dxa"/>
          </w:tcPr>
          <w:p w:rsidR="0049314D" w:rsidRPr="00713DE9" w:rsidRDefault="002D6C25" w:rsidP="0049314D">
            <w:pPr>
              <w:pStyle w:val="Prrafodelista"/>
              <w:ind w:left="0"/>
              <w:jc w:val="center"/>
              <w:rPr>
                <w:rFonts w:ascii="Verdana" w:hAnsi="Verdana"/>
              </w:rPr>
            </w:pPr>
            <w:r w:rsidRPr="00713DE9">
              <w:rPr>
                <w:rFonts w:ascii="Verdana" w:hAnsi="Verdana"/>
              </w:rPr>
              <w:t>Bajo coste, con altos riesgos y rentabilidad limitada.</w:t>
            </w:r>
          </w:p>
          <w:p w:rsidR="002D6C25" w:rsidRPr="00713DE9" w:rsidRDefault="002D6C25" w:rsidP="002D6C25">
            <w:pPr>
              <w:pStyle w:val="Prrafodelista"/>
              <w:ind w:left="0"/>
              <w:rPr>
                <w:rFonts w:ascii="Verdana" w:hAnsi="Verdana"/>
              </w:rPr>
            </w:pPr>
          </w:p>
        </w:tc>
      </w:tr>
    </w:tbl>
    <w:p w:rsidR="0049314D" w:rsidRPr="00713DE9" w:rsidRDefault="0049314D" w:rsidP="0049314D">
      <w:pPr>
        <w:pStyle w:val="Prrafodelista"/>
        <w:rPr>
          <w:rFonts w:ascii="Verdana" w:hAnsi="Verdana"/>
        </w:rPr>
      </w:pPr>
    </w:p>
    <w:p w:rsidR="002D6C25" w:rsidRPr="00713DE9" w:rsidRDefault="002D6C25" w:rsidP="0049314D">
      <w:pPr>
        <w:pStyle w:val="Prrafodelista"/>
        <w:rPr>
          <w:rFonts w:ascii="Verdana" w:hAnsi="Verdana"/>
        </w:rPr>
      </w:pPr>
    </w:p>
    <w:p w:rsidR="002D6C25" w:rsidRPr="00713DE9" w:rsidRDefault="002D6C25" w:rsidP="0049314D">
      <w:pPr>
        <w:pStyle w:val="Prrafodelista"/>
        <w:rPr>
          <w:rFonts w:ascii="Verdana" w:hAnsi="Verdana"/>
        </w:rPr>
      </w:pPr>
    </w:p>
    <w:p w:rsidR="002D6C25" w:rsidRPr="00DE7C62" w:rsidRDefault="002D6C25" w:rsidP="002D6C25">
      <w:pPr>
        <w:pStyle w:val="Prrafodelista"/>
        <w:numPr>
          <w:ilvl w:val="0"/>
          <w:numId w:val="12"/>
        </w:numPr>
        <w:rPr>
          <w:rFonts w:ascii="Verdana" w:hAnsi="Verdana"/>
          <w:b/>
        </w:rPr>
      </w:pPr>
      <w:r w:rsidRPr="00DE7C62">
        <w:rPr>
          <w:rFonts w:ascii="Verdana" w:hAnsi="Verdana"/>
          <w:b/>
        </w:rPr>
        <w:lastRenderedPageBreak/>
        <w:t>Conclusión.</w:t>
      </w:r>
    </w:p>
    <w:p w:rsidR="002D6C25" w:rsidRPr="00713DE9" w:rsidRDefault="002D6C25" w:rsidP="002D6C25">
      <w:pPr>
        <w:rPr>
          <w:rFonts w:ascii="Verdana" w:hAnsi="Verdana"/>
        </w:rPr>
      </w:pPr>
      <w:r w:rsidRPr="00713DE9">
        <w:rPr>
          <w:rFonts w:ascii="Verdana" w:hAnsi="Verdana"/>
        </w:rPr>
        <w:t xml:space="preserve">Los conectores sucios o dañados están en el nº1 de las causas de problemas en el despliegue de enlaces de fibra óptica. Es preciso prestar a su inspección toda la atención precisa. En este contexto, y habida cuenta de las anteriores consideraciones con respecto a ventajas añadidas, resulta evidente el que obtener buenos resultados precisa de una inversión inicial más elevada. Las </w:t>
      </w:r>
      <w:proofErr w:type="spellStart"/>
      <w:r w:rsidRPr="00713DE9">
        <w:rPr>
          <w:rFonts w:ascii="Verdana" w:hAnsi="Verdana"/>
        </w:rPr>
        <w:t>FIPs</w:t>
      </w:r>
      <w:proofErr w:type="spellEnd"/>
      <w:r w:rsidRPr="00713DE9">
        <w:rPr>
          <w:rFonts w:ascii="Verdana" w:hAnsi="Verdana"/>
        </w:rPr>
        <w:t xml:space="preserve"> son la mejor elección para una solución de inspección más segura, completa y flexible; que asegurará unos despliegues más seguros duraderos y con prestaciones óptimas.</w:t>
      </w:r>
    </w:p>
    <w:p w:rsidR="00807265" w:rsidRPr="00713DE9" w:rsidRDefault="00807265" w:rsidP="00807265">
      <w:pPr>
        <w:rPr>
          <w:rFonts w:ascii="Verdana" w:hAnsi="Verdana"/>
        </w:rPr>
      </w:pPr>
      <w:r w:rsidRPr="00713DE9">
        <w:rPr>
          <w:rFonts w:ascii="Verdana" w:hAnsi="Verdana"/>
        </w:rPr>
        <w:t xml:space="preserve"> </w:t>
      </w:r>
    </w:p>
    <w:sectPr w:rsidR="00807265" w:rsidRPr="00713DE9" w:rsidSect="00713DE9">
      <w:headerReference w:type="default" r:id="rId16"/>
      <w:footerReference w:type="default" r:id="rId17"/>
      <w:pgSz w:w="11906" w:h="16838"/>
      <w:pgMar w:top="2835" w:right="1559"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BDE" w:rsidRDefault="00976BDE" w:rsidP="00DA0C68">
      <w:pPr>
        <w:spacing w:after="0" w:line="240" w:lineRule="auto"/>
      </w:pPr>
      <w:r>
        <w:separator/>
      </w:r>
    </w:p>
  </w:endnote>
  <w:endnote w:type="continuationSeparator" w:id="0">
    <w:p w:rsidR="00976BDE" w:rsidRDefault="00976BDE" w:rsidP="00DA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C68" w:rsidRPr="00713DE9" w:rsidRDefault="009A583D" w:rsidP="00713DE9">
    <w:pPr>
      <w:pStyle w:val="Piedepgina"/>
      <w:pBdr>
        <w:top w:val="thinThickSmallGap" w:sz="24" w:space="1" w:color="622423" w:themeColor="accent2" w:themeShade="7F"/>
      </w:pBdr>
      <w:rPr>
        <w:rFonts w:ascii="Verdana" w:hAnsi="Verdana"/>
        <w:sz w:val="18"/>
        <w:szCs w:val="18"/>
      </w:rPr>
    </w:pPr>
    <w:r w:rsidRPr="00713DE9">
      <w:rPr>
        <w:rFonts w:ascii="Verdana" w:hAnsi="Verdana"/>
        <w:sz w:val="18"/>
        <w:szCs w:val="18"/>
      </w:rPr>
      <w:t>Sondas de inspección de fibra y microscopios para fibra óptica</w:t>
    </w:r>
    <w:r w:rsidR="00014C77" w:rsidRPr="00713DE9">
      <w:rPr>
        <w:rFonts w:ascii="Verdana" w:hAnsi="Verdana"/>
        <w:sz w:val="18"/>
        <w:szCs w:val="18"/>
      </w:rPr>
      <w:t xml:space="preserve">  Octubre 2011</w:t>
    </w:r>
    <w:r w:rsidR="00014C77" w:rsidRPr="00713DE9">
      <w:rPr>
        <w:rFonts w:ascii="Verdana" w:hAnsi="Verdana"/>
        <w:sz w:val="18"/>
        <w:szCs w:val="18"/>
      </w:rPr>
      <w:ptab w:relativeTo="margin" w:alignment="right" w:leader="none"/>
    </w:r>
    <w:r w:rsidR="00014C77" w:rsidRPr="00713DE9">
      <w:rPr>
        <w:rFonts w:ascii="Verdana" w:hAnsi="Verdana"/>
        <w:sz w:val="18"/>
        <w:szCs w:val="18"/>
      </w:rPr>
      <w:t xml:space="preserve">Página </w:t>
    </w:r>
    <w:r w:rsidR="007113E6" w:rsidRPr="00713DE9">
      <w:rPr>
        <w:rFonts w:ascii="Verdana" w:hAnsi="Verdana"/>
        <w:sz w:val="18"/>
        <w:szCs w:val="18"/>
      </w:rPr>
      <w:fldChar w:fldCharType="begin"/>
    </w:r>
    <w:r w:rsidR="007113E6" w:rsidRPr="00713DE9">
      <w:rPr>
        <w:rFonts w:ascii="Verdana" w:hAnsi="Verdana"/>
        <w:sz w:val="18"/>
        <w:szCs w:val="18"/>
      </w:rPr>
      <w:instrText xml:space="preserve"> PAGE   \* MERGEFORMAT </w:instrText>
    </w:r>
    <w:r w:rsidR="007113E6" w:rsidRPr="00713DE9">
      <w:rPr>
        <w:rFonts w:ascii="Verdana" w:hAnsi="Verdana"/>
        <w:sz w:val="18"/>
        <w:szCs w:val="18"/>
      </w:rPr>
      <w:fldChar w:fldCharType="separate"/>
    </w:r>
    <w:r w:rsidR="00EA4879">
      <w:rPr>
        <w:rFonts w:ascii="Verdana" w:hAnsi="Verdana"/>
        <w:noProof/>
        <w:sz w:val="18"/>
        <w:szCs w:val="18"/>
      </w:rPr>
      <w:t>4</w:t>
    </w:r>
    <w:r w:rsidR="007113E6" w:rsidRPr="00713DE9">
      <w:rPr>
        <w:rFonts w:ascii="Verdana" w:hAnsi="Verdana"/>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BDE" w:rsidRDefault="00976BDE" w:rsidP="00DA0C68">
      <w:pPr>
        <w:spacing w:after="0" w:line="240" w:lineRule="auto"/>
      </w:pPr>
      <w:r>
        <w:separator/>
      </w:r>
    </w:p>
  </w:footnote>
  <w:footnote w:type="continuationSeparator" w:id="0">
    <w:p w:rsidR="00976BDE" w:rsidRDefault="00976BDE" w:rsidP="00DA0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C68" w:rsidRDefault="00DA0C68" w:rsidP="00DA0C68">
    <w:pPr>
      <w:pStyle w:val="Encabezado"/>
      <w:jc w:val="center"/>
    </w:pPr>
    <w:r>
      <w:rPr>
        <w:noProof/>
        <w:lang w:eastAsia="es-ES"/>
      </w:rPr>
      <w:drawing>
        <wp:inline distT="0" distB="0" distL="0" distR="0" wp14:anchorId="56C3D09B" wp14:editId="3126BA2E">
          <wp:extent cx="2304016" cy="764088"/>
          <wp:effectExtent l="0" t="0" r="0" b="0"/>
          <wp:docPr id="1" name="0 Imagen" descr="Grupo Cofi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po Cofitel.jpg"/>
                  <pic:cNvPicPr/>
                </pic:nvPicPr>
                <pic:blipFill>
                  <a:blip r:embed="rId1"/>
                  <a:stretch>
                    <a:fillRect/>
                  </a:stretch>
                </pic:blipFill>
                <pic:spPr>
                  <a:xfrm>
                    <a:off x="0" y="0"/>
                    <a:ext cx="2331267" cy="773125"/>
                  </a:xfrm>
                  <a:prstGeom prst="rect">
                    <a:avLst/>
                  </a:prstGeom>
                </pic:spPr>
              </pic:pic>
            </a:graphicData>
          </a:graphic>
        </wp:inline>
      </w:drawing>
    </w:r>
  </w:p>
  <w:p w:rsidR="00DA0C68" w:rsidRDefault="00DA0C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0B0"/>
    <w:multiLevelType w:val="hybridMultilevel"/>
    <w:tmpl w:val="4BD6D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54E07"/>
    <w:multiLevelType w:val="hybridMultilevel"/>
    <w:tmpl w:val="52167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CE46ED"/>
    <w:multiLevelType w:val="hybridMultilevel"/>
    <w:tmpl w:val="66AE9C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716274"/>
    <w:multiLevelType w:val="hybridMultilevel"/>
    <w:tmpl w:val="A4028B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92477BF"/>
    <w:multiLevelType w:val="hybridMultilevel"/>
    <w:tmpl w:val="97DC7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A3544E"/>
    <w:multiLevelType w:val="hybridMultilevel"/>
    <w:tmpl w:val="0AB654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3345BA5"/>
    <w:multiLevelType w:val="hybridMultilevel"/>
    <w:tmpl w:val="37F2C35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4C0358E"/>
    <w:multiLevelType w:val="hybridMultilevel"/>
    <w:tmpl w:val="B0F67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8F3548F"/>
    <w:multiLevelType w:val="hybridMultilevel"/>
    <w:tmpl w:val="5C6880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93805AC"/>
    <w:multiLevelType w:val="hybridMultilevel"/>
    <w:tmpl w:val="7F52F6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CCA76A8"/>
    <w:multiLevelType w:val="hybridMultilevel"/>
    <w:tmpl w:val="C832B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E890A5B"/>
    <w:multiLevelType w:val="hybridMultilevel"/>
    <w:tmpl w:val="188280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F596CB8"/>
    <w:multiLevelType w:val="hybridMultilevel"/>
    <w:tmpl w:val="1EC853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BDC6D37"/>
    <w:multiLevelType w:val="hybridMultilevel"/>
    <w:tmpl w:val="29282F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4"/>
  </w:num>
  <w:num w:numId="5">
    <w:abstractNumId w:val="13"/>
  </w:num>
  <w:num w:numId="6">
    <w:abstractNumId w:val="5"/>
  </w:num>
  <w:num w:numId="7">
    <w:abstractNumId w:val="6"/>
  </w:num>
  <w:num w:numId="8">
    <w:abstractNumId w:val="0"/>
  </w:num>
  <w:num w:numId="9">
    <w:abstractNumId w:val="10"/>
  </w:num>
  <w:num w:numId="10">
    <w:abstractNumId w:val="2"/>
  </w:num>
  <w:num w:numId="11">
    <w:abstractNumId w:val="11"/>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3E45"/>
    <w:rsid w:val="00014C77"/>
    <w:rsid w:val="000B1118"/>
    <w:rsid w:val="000F2EF8"/>
    <w:rsid w:val="000F4E60"/>
    <w:rsid w:val="001561D4"/>
    <w:rsid w:val="0016313A"/>
    <w:rsid w:val="001E1504"/>
    <w:rsid w:val="002215C3"/>
    <w:rsid w:val="00274DAE"/>
    <w:rsid w:val="00287126"/>
    <w:rsid w:val="002D6C25"/>
    <w:rsid w:val="002F0C73"/>
    <w:rsid w:val="00322BEF"/>
    <w:rsid w:val="003C6C46"/>
    <w:rsid w:val="004912B5"/>
    <w:rsid w:val="0049314D"/>
    <w:rsid w:val="004B1C55"/>
    <w:rsid w:val="005D0E1D"/>
    <w:rsid w:val="00620FFC"/>
    <w:rsid w:val="00630C19"/>
    <w:rsid w:val="00640DAE"/>
    <w:rsid w:val="00672489"/>
    <w:rsid w:val="007113E6"/>
    <w:rsid w:val="00712B4A"/>
    <w:rsid w:val="00713DE9"/>
    <w:rsid w:val="00807265"/>
    <w:rsid w:val="008D3ABB"/>
    <w:rsid w:val="00976BDE"/>
    <w:rsid w:val="009A583D"/>
    <w:rsid w:val="009B6BF4"/>
    <w:rsid w:val="009D5444"/>
    <w:rsid w:val="00A87C21"/>
    <w:rsid w:val="00B103C6"/>
    <w:rsid w:val="00BF3E45"/>
    <w:rsid w:val="00C07C29"/>
    <w:rsid w:val="00C410FF"/>
    <w:rsid w:val="00D10CBD"/>
    <w:rsid w:val="00D33FA3"/>
    <w:rsid w:val="00D872F2"/>
    <w:rsid w:val="00DA0C68"/>
    <w:rsid w:val="00DA68DB"/>
    <w:rsid w:val="00DB4999"/>
    <w:rsid w:val="00DE7C62"/>
    <w:rsid w:val="00E12389"/>
    <w:rsid w:val="00E322F1"/>
    <w:rsid w:val="00E70ED8"/>
    <w:rsid w:val="00E7412D"/>
    <w:rsid w:val="00E74C89"/>
    <w:rsid w:val="00E80231"/>
    <w:rsid w:val="00E80F31"/>
    <w:rsid w:val="00E955B0"/>
    <w:rsid w:val="00EA03E9"/>
    <w:rsid w:val="00EA4879"/>
    <w:rsid w:val="00EB69A1"/>
    <w:rsid w:val="00F45F75"/>
    <w:rsid w:val="00F51F11"/>
    <w:rsid w:val="00FA036D"/>
    <w:rsid w:val="00FB2517"/>
    <w:rsid w:val="00FF07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C7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3E45"/>
    <w:pPr>
      <w:ind w:left="720"/>
      <w:contextualSpacing/>
    </w:pPr>
  </w:style>
  <w:style w:type="paragraph" w:styleId="Encabezado">
    <w:name w:val="header"/>
    <w:basedOn w:val="Normal"/>
    <w:link w:val="EncabezadoCar"/>
    <w:uiPriority w:val="99"/>
    <w:unhideWhenUsed/>
    <w:rsid w:val="00DA0C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A0C68"/>
  </w:style>
  <w:style w:type="paragraph" w:styleId="Piedepgina">
    <w:name w:val="footer"/>
    <w:basedOn w:val="Normal"/>
    <w:link w:val="PiedepginaCar"/>
    <w:uiPriority w:val="99"/>
    <w:unhideWhenUsed/>
    <w:rsid w:val="00DA0C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A0C68"/>
  </w:style>
  <w:style w:type="paragraph" w:styleId="Textodeglobo">
    <w:name w:val="Balloon Text"/>
    <w:basedOn w:val="Normal"/>
    <w:link w:val="TextodegloboCar"/>
    <w:uiPriority w:val="99"/>
    <w:semiHidden/>
    <w:unhideWhenUsed/>
    <w:rsid w:val="00DA0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0C68"/>
    <w:rPr>
      <w:rFonts w:ascii="Tahoma" w:hAnsi="Tahoma" w:cs="Tahoma"/>
      <w:sz w:val="16"/>
      <w:szCs w:val="16"/>
    </w:rPr>
  </w:style>
  <w:style w:type="table" w:styleId="Tablaconcuadrcula">
    <w:name w:val="Table Grid"/>
    <w:basedOn w:val="Tablanormal"/>
    <w:uiPriority w:val="59"/>
    <w:rsid w:val="00274D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6</Pages>
  <Words>843</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Matesanz</dc:creator>
  <cp:lastModifiedBy>dinamita</cp:lastModifiedBy>
  <cp:revision>23</cp:revision>
  <dcterms:created xsi:type="dcterms:W3CDTF">2011-09-25T08:16:00Z</dcterms:created>
  <dcterms:modified xsi:type="dcterms:W3CDTF">2011-09-27T08:51:00Z</dcterms:modified>
</cp:coreProperties>
</file>